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8E" w:rsidRDefault="00046B60" w:rsidP="0021196D">
      <w:pPr>
        <w:pStyle w:val="Brdtext"/>
        <w:rPr>
          <w:b/>
        </w:rPr>
      </w:pPr>
      <w:bookmarkStart w:id="0" w:name="_GoBack"/>
      <w:bookmarkEnd w:id="0"/>
      <w:r w:rsidRPr="00046B60">
        <w:rPr>
          <w:b/>
        </w:rPr>
        <w:t>NÄT</w:t>
      </w:r>
      <w:r>
        <w:rPr>
          <w:b/>
        </w:rPr>
        <w:t xml:space="preserve"> 2012 K (rev) Supplement till NÄT 2012 K</w:t>
      </w:r>
    </w:p>
    <w:p w:rsidR="00A51D6C" w:rsidRDefault="00046B60" w:rsidP="0021196D">
      <w:pPr>
        <w:pStyle w:val="Brdtext"/>
        <w:rPr>
          <w:b/>
        </w:rPr>
      </w:pPr>
      <w:r>
        <w:rPr>
          <w:b/>
        </w:rPr>
        <w:t>ALLMÄNNA AVTALSVILLKOR FÖR ANSLUTNING AV ELEKTRISKA ANLÄGGNINGAR TILL ELNÄT OCH ÖVERFÖRIN</w:t>
      </w:r>
      <w:r w:rsidR="001D24FD">
        <w:rPr>
          <w:b/>
        </w:rPr>
        <w:t>G</w:t>
      </w:r>
      <w:r>
        <w:rPr>
          <w:b/>
        </w:rPr>
        <w:t xml:space="preserve"> AV EL TILL SÅDANA ANLÄGGNINGAR</w:t>
      </w:r>
      <w:r w:rsidR="00A51D6C">
        <w:rPr>
          <w:b/>
        </w:rPr>
        <w:t xml:space="preserve"> (konsument)</w:t>
      </w:r>
    </w:p>
    <w:p w:rsidR="00A51D6C" w:rsidRPr="004E7F9C" w:rsidRDefault="00A51D6C" w:rsidP="0021196D">
      <w:pPr>
        <w:pStyle w:val="Brdtext"/>
      </w:pPr>
      <w:r>
        <w:rPr>
          <w:b/>
        </w:rPr>
        <w:t xml:space="preserve">ALLMÄNNA AVTALSVILLKOR </w:t>
      </w:r>
      <w:r>
        <w:t xml:space="preserve">utarbetade av Svensk Energi efter </w:t>
      </w:r>
      <w:r w:rsidRPr="004E7F9C">
        <w:t>överenskommelse med Konsumentverket.</w:t>
      </w:r>
    </w:p>
    <w:p w:rsidR="00046B60" w:rsidRDefault="005D65CC" w:rsidP="0021196D">
      <w:pPr>
        <w:pStyle w:val="Brdtext"/>
        <w:rPr>
          <w:b/>
        </w:rPr>
      </w:pPr>
      <w:r w:rsidRPr="004E7F9C">
        <w:rPr>
          <w:b/>
        </w:rPr>
        <w:t>I villkoren har 1.3</w:t>
      </w:r>
      <w:r w:rsidR="00782F48" w:rsidRPr="004E7F9C">
        <w:rPr>
          <w:b/>
        </w:rPr>
        <w:t xml:space="preserve">, 2.2, </w:t>
      </w:r>
      <w:r w:rsidR="00F83513">
        <w:rPr>
          <w:b/>
        </w:rPr>
        <w:t xml:space="preserve">2.15, </w:t>
      </w:r>
      <w:r w:rsidR="00782F48" w:rsidRPr="004E7F9C">
        <w:rPr>
          <w:b/>
        </w:rPr>
        <w:t>2.20, 2.22, 3.4,</w:t>
      </w:r>
      <w:r w:rsidR="001E7522" w:rsidRPr="004E7F9C">
        <w:rPr>
          <w:b/>
        </w:rPr>
        <w:t xml:space="preserve"> 4.5, 4.6, 5.1, 8.3, 10.1, 10.2 och 10.5 </w:t>
      </w:r>
      <w:r w:rsidR="008E0F1B" w:rsidRPr="00A91490">
        <w:rPr>
          <w:b/>
        </w:rPr>
        <w:t>ändrats</w:t>
      </w:r>
      <w:r w:rsidR="00BA12E2" w:rsidRPr="00A91490">
        <w:rPr>
          <w:b/>
        </w:rPr>
        <w:t>.</w:t>
      </w:r>
    </w:p>
    <w:p w:rsidR="008E0F1B" w:rsidRDefault="008E0F1B" w:rsidP="0021196D">
      <w:pPr>
        <w:pStyle w:val="Brdtext"/>
        <w:rPr>
          <w:b/>
        </w:rPr>
      </w:pPr>
      <w:r>
        <w:rPr>
          <w:b/>
        </w:rPr>
        <w:t>Ändringar och tillägg till NÄT 2012 K har kursiverats och markerats med fet stil.</w:t>
      </w:r>
    </w:p>
    <w:p w:rsidR="005C419F" w:rsidRDefault="005C419F" w:rsidP="00DB5650">
      <w:pPr>
        <w:pStyle w:val="Brdtext"/>
      </w:pPr>
    </w:p>
    <w:p w:rsidR="00DB5650" w:rsidRDefault="00DB5650" w:rsidP="005C419F">
      <w:pPr>
        <w:pStyle w:val="Brdtext"/>
        <w:numPr>
          <w:ilvl w:val="0"/>
          <w:numId w:val="25"/>
        </w:numPr>
      </w:pPr>
      <w:r>
        <w:t>1.3 tionde strecksatsen</w:t>
      </w:r>
      <w:r w:rsidRPr="00FE7513">
        <w:t>:</w:t>
      </w:r>
      <w:r>
        <w:t xml:space="preserve"> </w:t>
      </w:r>
      <w:r w:rsidRPr="00FE7513">
        <w:t>Stavningen har ändrats till</w:t>
      </w:r>
      <w:r>
        <w:t xml:space="preserve"> Svenska </w:t>
      </w:r>
      <w:r w:rsidR="009D223A">
        <w:rPr>
          <w:b/>
          <w:i/>
        </w:rPr>
        <w:t>k</w:t>
      </w:r>
      <w:r w:rsidRPr="00620A68">
        <w:rPr>
          <w:b/>
          <w:i/>
        </w:rPr>
        <w:t>raftnät</w:t>
      </w:r>
      <w:r>
        <w:t>.</w:t>
      </w:r>
    </w:p>
    <w:p w:rsidR="008E0F1B" w:rsidRDefault="00660DCA" w:rsidP="005C419F">
      <w:pPr>
        <w:pStyle w:val="Brdtext"/>
        <w:numPr>
          <w:ilvl w:val="0"/>
          <w:numId w:val="25"/>
        </w:numPr>
      </w:pPr>
      <w:r w:rsidRPr="00660DCA">
        <w:t xml:space="preserve">2.2 </w:t>
      </w:r>
      <w:r>
        <w:t>andra stycket punkten 8:</w:t>
      </w:r>
      <w:r w:rsidR="00393880">
        <w:t xml:space="preserve"> hänvisningen </w:t>
      </w:r>
      <w:r w:rsidR="00F3626C">
        <w:t>i slutet av bestämmelsen</w:t>
      </w:r>
      <w:r w:rsidR="00393880">
        <w:t xml:space="preserve"> </w:t>
      </w:r>
      <w:r w:rsidR="00F3626C">
        <w:t xml:space="preserve">kompletteras och lyder </w:t>
      </w:r>
      <w:r w:rsidR="00F3626C" w:rsidRPr="00F3626C">
        <w:rPr>
          <w:b/>
          <w:i/>
        </w:rPr>
        <w:t>11 kap.</w:t>
      </w:r>
      <w:r w:rsidR="00F3626C">
        <w:t xml:space="preserve"> 18 § i ellagen.</w:t>
      </w:r>
    </w:p>
    <w:p w:rsidR="005D4652" w:rsidRDefault="005D4652" w:rsidP="005C419F">
      <w:pPr>
        <w:pStyle w:val="Brdtext"/>
        <w:numPr>
          <w:ilvl w:val="0"/>
          <w:numId w:val="25"/>
        </w:numPr>
      </w:pPr>
      <w:r>
        <w:t xml:space="preserve">2.15 andra stycket: ordföljden i sista meningen har ändrats till </w:t>
      </w:r>
      <w:r w:rsidR="001E3991">
        <w:br/>
      </w:r>
      <w:r w:rsidR="009B64F3">
        <w:t xml:space="preserve">"... ersättning </w:t>
      </w:r>
      <w:r w:rsidR="009B64F3" w:rsidRPr="001C373C">
        <w:rPr>
          <w:b/>
          <w:i/>
        </w:rPr>
        <w:t>måste dock</w:t>
      </w:r>
      <w:r w:rsidR="009B64F3">
        <w:t xml:space="preserve"> väckas...".</w:t>
      </w:r>
    </w:p>
    <w:p w:rsidR="00195169" w:rsidRDefault="00195169" w:rsidP="005C419F">
      <w:pPr>
        <w:pStyle w:val="Brdtext"/>
        <w:numPr>
          <w:ilvl w:val="0"/>
          <w:numId w:val="25"/>
        </w:numPr>
      </w:pPr>
      <w:r>
        <w:t>2.20 första stycket</w:t>
      </w:r>
      <w:r w:rsidR="00947E1D">
        <w:t>s inledning</w:t>
      </w:r>
      <w:r>
        <w:t xml:space="preserve"> ska ha följande lydelse</w:t>
      </w:r>
      <w:r w:rsidR="00ED18BE">
        <w:t>:</w:t>
      </w:r>
      <w:r w:rsidR="00921232">
        <w:br/>
      </w:r>
      <w:r w:rsidR="009B4149" w:rsidRPr="00921232">
        <w:rPr>
          <w:b/>
          <w:i/>
        </w:rPr>
        <w:t>Om uttagspunkten är elektriskt frånkopplad i en eller flera faser från spänningssatt koncessionerat nät</w:t>
      </w:r>
      <w:r w:rsidR="009B4149" w:rsidRPr="00184241">
        <w:t xml:space="preserve"> under en sammanhängande period om minst </w:t>
      </w:r>
      <w:r w:rsidR="009B4149" w:rsidRPr="00921232">
        <w:rPr>
          <w:b/>
          <w:i/>
        </w:rPr>
        <w:t>tolv</w:t>
      </w:r>
      <w:r w:rsidR="009B4149" w:rsidRPr="00184241">
        <w:t xml:space="preserve"> timmar har konsumenten rätt till avbrottsersättning om inte någon av följande situationer föreligger:</w:t>
      </w:r>
    </w:p>
    <w:p w:rsidR="004A5F68" w:rsidRDefault="00F16D12" w:rsidP="005C419F">
      <w:pPr>
        <w:pStyle w:val="Brdtext"/>
        <w:numPr>
          <w:ilvl w:val="0"/>
          <w:numId w:val="26"/>
        </w:numPr>
      </w:pPr>
      <w:r>
        <w:t xml:space="preserve">2.22 andra stycket: prisbasbeloppet anges numera i </w:t>
      </w:r>
      <w:r w:rsidR="00D073C7" w:rsidRPr="00D073C7">
        <w:rPr>
          <w:b/>
          <w:i/>
        </w:rPr>
        <w:t>socialförsäkringsbalken (2010:110)</w:t>
      </w:r>
      <w:r w:rsidR="00D073C7">
        <w:t>.</w:t>
      </w:r>
    </w:p>
    <w:p w:rsidR="00410C16" w:rsidRPr="00921232" w:rsidRDefault="00BF2DCE" w:rsidP="005C419F">
      <w:pPr>
        <w:pStyle w:val="Brdtext"/>
        <w:numPr>
          <w:ilvl w:val="0"/>
          <w:numId w:val="26"/>
        </w:numPr>
        <w:rPr>
          <w:b/>
          <w:i/>
        </w:rPr>
      </w:pPr>
      <w:r>
        <w:t xml:space="preserve">3.4 andra stycket </w:t>
      </w:r>
      <w:r w:rsidR="00410C16">
        <w:t>ska ha följande lydelse</w:t>
      </w:r>
      <w:r w:rsidR="00ED18BE">
        <w:t>:</w:t>
      </w:r>
      <w:r w:rsidR="00921232">
        <w:br/>
      </w:r>
      <w:r w:rsidR="00410C16" w:rsidRPr="00410C16">
        <w:t xml:space="preserve">Om elnätsföretaget avser att byta mätare ska, om inte särskilda skäl föreligger, konsumenten i god tid innan informeras om orsak och tidpunkt för bytet. </w:t>
      </w:r>
      <w:r w:rsidR="00410C16" w:rsidRPr="00921232">
        <w:rPr>
          <w:b/>
          <w:i/>
        </w:rPr>
        <w:t>Även annan lämplig information t.ex. om mätarens funktion ska enligt författning lämnas i samband med installation av nya mätare.</w:t>
      </w:r>
    </w:p>
    <w:p w:rsidR="00E024FA" w:rsidRPr="00E024FA" w:rsidRDefault="00B24615" w:rsidP="00AB5D29">
      <w:pPr>
        <w:pStyle w:val="Brdtext"/>
        <w:numPr>
          <w:ilvl w:val="0"/>
          <w:numId w:val="27"/>
        </w:numPr>
      </w:pPr>
      <w:r>
        <w:t>4.5</w:t>
      </w:r>
      <w:r w:rsidR="00E024FA">
        <w:t xml:space="preserve"> ska ha följande lydelse</w:t>
      </w:r>
      <w:r w:rsidR="00ED18BE">
        <w:t>:</w:t>
      </w:r>
      <w:r w:rsidR="00921232">
        <w:br/>
      </w:r>
      <w:r w:rsidR="00E024FA" w:rsidRPr="00E024FA">
        <w:t>Insamling av mätvärden ska ske i enlighet med vad som vid varje tid framgår av författning.</w:t>
      </w:r>
    </w:p>
    <w:p w:rsidR="00E024FA" w:rsidRPr="00E024FA" w:rsidRDefault="00E024FA" w:rsidP="00AB5D29">
      <w:pPr>
        <w:pStyle w:val="Brdtext"/>
        <w:ind w:left="360"/>
      </w:pPr>
      <w:r w:rsidRPr="00E024FA">
        <w:t xml:space="preserve">Insamling av mätvärden hos en konsument vars köp av el ingår i underlaget för schablonberäkning ska genomföras vid varje månadsskifte. Därutöver ska mätvärden insamlas vid byte av elhandelsföretag, påbörjande och avslutande av elleverans samt vid nyanslutning, permanent frånkoppling och byte av mätare. </w:t>
      </w:r>
    </w:p>
    <w:p w:rsidR="009B04D2" w:rsidRDefault="00E024FA" w:rsidP="00AB5D29">
      <w:pPr>
        <w:pStyle w:val="Brdtext"/>
        <w:ind w:left="360"/>
      </w:pPr>
      <w:r w:rsidRPr="00E024FA">
        <w:t xml:space="preserve">Om elnätsföretaget inte kan genomföra insamling av mätvärden enligt ovan ska </w:t>
      </w:r>
      <w:r w:rsidRPr="00E024FA">
        <w:rPr>
          <w:b/>
          <w:i/>
        </w:rPr>
        <w:t>dessa fastställas på annat sätt</w:t>
      </w:r>
      <w:r w:rsidRPr="00E024FA">
        <w:t xml:space="preserve"> i enlighet med vid var tid gällande föreskrifter. </w:t>
      </w:r>
    </w:p>
    <w:p w:rsidR="00E024FA" w:rsidRPr="00E024FA" w:rsidRDefault="00E024FA" w:rsidP="00AB5D29">
      <w:pPr>
        <w:pStyle w:val="Brdtext"/>
        <w:ind w:left="360"/>
      </w:pPr>
      <w:r w:rsidRPr="00E024FA">
        <w:t>Om inte annat framgår av författning ska insamling av mätvärden ske vid tidpunkt och på sätt som bestäms av elnätsföretaget.</w:t>
      </w:r>
    </w:p>
    <w:p w:rsidR="00E024FA" w:rsidRPr="006D7BE0" w:rsidRDefault="00E024FA" w:rsidP="00AB5D29">
      <w:pPr>
        <w:pStyle w:val="Brdtext"/>
        <w:ind w:left="360"/>
        <w:rPr>
          <w:b/>
          <w:i/>
        </w:rPr>
      </w:pPr>
      <w:bookmarkStart w:id="1" w:name="K3P11"/>
      <w:bookmarkStart w:id="2" w:name="K3P11S1"/>
      <w:bookmarkEnd w:id="1"/>
      <w:bookmarkEnd w:id="2"/>
      <w:r w:rsidRPr="006D7BE0">
        <w:rPr>
          <w:b/>
          <w:i/>
        </w:rPr>
        <w:t>En konsument som begär att elförbrukningen ska mätas på annat sätt än som ovan angivits  ska av elnätsföretaget debiteras merkostnaden för denna mätning och för rapporteringen av resultaten av dessa mätningar. Om mätningen därvid kräver en annan mätutrustning ska konsumenten debiteras kostnaden för mätaren med tillhörande insamlingsutrustning och för dess installation i uttagspunkten.</w:t>
      </w:r>
      <w:bookmarkStart w:id="3" w:name="K3P11S2"/>
      <w:bookmarkEnd w:id="3"/>
    </w:p>
    <w:p w:rsidR="00E024FA" w:rsidRDefault="00E024FA" w:rsidP="00AB5D29">
      <w:pPr>
        <w:pStyle w:val="Brdtext"/>
        <w:ind w:left="360"/>
        <w:rPr>
          <w:b/>
          <w:i/>
        </w:rPr>
      </w:pPr>
      <w:r w:rsidRPr="006D7BE0">
        <w:rPr>
          <w:b/>
          <w:i/>
        </w:rPr>
        <w:lastRenderedPageBreak/>
        <w:t xml:space="preserve">Andra kostnader för mätning än de som nu nämnts får inte debiteras konsumenten. Trots det som sägs i </w:t>
      </w:r>
      <w:hyperlink r:id="rId8" w:anchor="K3P11S1" w:tooltip="11 § En elanvändare som begär att elförbrukningen ska mätas på annat sätt än enligt de.." w:history="1">
        <w:r w:rsidRPr="006D7BE0">
          <w:rPr>
            <w:b/>
            <w:i/>
          </w:rPr>
          <w:t>föregående stycke</w:t>
        </w:r>
      </w:hyperlink>
      <w:r w:rsidRPr="006D7BE0">
        <w:rPr>
          <w:b/>
          <w:i/>
        </w:rPr>
        <w:t xml:space="preserve"> får en konsument, som ingått ett avtal om leverans av el som förutsätter att mängden överförd el ska mätas per timme, inte debiteras merkostnader för detta.</w:t>
      </w:r>
    </w:p>
    <w:p w:rsidR="0019505F" w:rsidRPr="0019505F" w:rsidRDefault="0019505F" w:rsidP="00AB5D29">
      <w:pPr>
        <w:pStyle w:val="Brdtext"/>
        <w:numPr>
          <w:ilvl w:val="0"/>
          <w:numId w:val="27"/>
        </w:numPr>
      </w:pPr>
      <w:r>
        <w:t>4.6 ska ha följande lydelse</w:t>
      </w:r>
      <w:r w:rsidR="00ED18BE">
        <w:t>:</w:t>
      </w:r>
      <w:r w:rsidR="00921232">
        <w:br/>
      </w:r>
      <w:r w:rsidRPr="0019505F">
        <w:t>Elnätsföretagets skyldigheter att rapportera mätvärden regleras i författning.</w:t>
      </w:r>
    </w:p>
    <w:p w:rsidR="0019505F" w:rsidRPr="0019505F" w:rsidRDefault="0019505F" w:rsidP="00AB5D29">
      <w:pPr>
        <w:pStyle w:val="Brdtext"/>
        <w:ind w:left="360"/>
      </w:pPr>
      <w:r w:rsidRPr="0019505F">
        <w:t>Elnätsföretaget ska senast vid fakturering till konsument vars köp av el ingår i underlaget för schablonberäkning</w:t>
      </w:r>
      <w:r w:rsidRPr="004C59B1">
        <w:rPr>
          <w:b/>
          <w:i/>
        </w:rPr>
        <w:t>, och på begäran till det företag som konsumenten utsett,</w:t>
      </w:r>
      <w:r w:rsidRPr="0019505F">
        <w:t xml:space="preserve"> informera om följande </w:t>
      </w:r>
      <w:r w:rsidRPr="004C59B1">
        <w:rPr>
          <w:b/>
          <w:i/>
        </w:rPr>
        <w:t>utan särskild kostnad för konsumenten:</w:t>
      </w:r>
      <w:r w:rsidRPr="0019505F">
        <w:br/>
      </w:r>
      <w:r>
        <w:t xml:space="preserve">- </w:t>
      </w:r>
      <w:r w:rsidRPr="0019505F">
        <w:t>mätarställningar vid varje månadsskifte,</w:t>
      </w:r>
      <w:r w:rsidRPr="0019505F">
        <w:br/>
        <w:t>-</w:t>
      </w:r>
      <w:r>
        <w:t xml:space="preserve"> </w:t>
      </w:r>
      <w:r w:rsidRPr="0019505F">
        <w:t>energiförbrukning under mätperioden,</w:t>
      </w:r>
      <w:r w:rsidRPr="0019505F">
        <w:br/>
        <w:t>-</w:t>
      </w:r>
      <w:r>
        <w:t xml:space="preserve"> </w:t>
      </w:r>
      <w:r w:rsidRPr="0019505F">
        <w:t>beräknad årsförbrukning samt</w:t>
      </w:r>
      <w:r w:rsidRPr="0019505F">
        <w:br/>
        <w:t>-</w:t>
      </w:r>
      <w:r>
        <w:t xml:space="preserve"> </w:t>
      </w:r>
      <w:r w:rsidRPr="0019505F">
        <w:t xml:space="preserve">förbrukningsstatistik per månad i kWh för de senaste tretton månaderna. </w:t>
      </w:r>
      <w:r w:rsidRPr="004C59B1">
        <w:rPr>
          <w:b/>
          <w:i/>
        </w:rPr>
        <w:t>I de fall det begärs ska elnätsföretaget lämna uppgifter om konsumentens förbrukningsstatistik för en längre period om dessa uppgifter finns tillgängliga.</w:t>
      </w:r>
    </w:p>
    <w:p w:rsidR="0019505F" w:rsidRPr="00A54160" w:rsidRDefault="0019505F" w:rsidP="00AB5D29">
      <w:pPr>
        <w:pStyle w:val="Brdtext"/>
        <w:ind w:left="360"/>
        <w:rPr>
          <w:b/>
          <w:i/>
        </w:rPr>
      </w:pPr>
      <w:r w:rsidRPr="00A54160">
        <w:rPr>
          <w:b/>
          <w:i/>
        </w:rPr>
        <w:t>För konsumenter med en uttagspunkt som timavräknas per dygn och för konsumenter med en timmätt schablonavräknad uttagspunkt har elnätsföretaget ytterligare informationsskyldigheter som framgår av författning.</w:t>
      </w:r>
    </w:p>
    <w:p w:rsidR="0019505F" w:rsidRPr="0019505F" w:rsidRDefault="0019505F" w:rsidP="0087756D">
      <w:pPr>
        <w:pStyle w:val="Brdtext"/>
        <w:ind w:left="360"/>
      </w:pPr>
      <w:r w:rsidRPr="0019505F">
        <w:t>Vid påbörjad elleverans eller vid byte av elhandelsföretag (påbörjande eller övertagande av elleverans) ska elnätsföretaget senast 15 vardagar efter att leverans påbörjats/övertagits till konsument informera om följande:</w:t>
      </w:r>
      <w:r w:rsidRPr="0019505F">
        <w:br/>
        <w:t>-</w:t>
      </w:r>
      <w:r>
        <w:t xml:space="preserve"> </w:t>
      </w:r>
      <w:r w:rsidRPr="0019505F">
        <w:t>tidpunkten för påbörjande eller övertagande av elleverans,</w:t>
      </w:r>
      <w:r w:rsidRPr="0019505F">
        <w:br/>
        <w:t>-</w:t>
      </w:r>
      <w:r>
        <w:t xml:space="preserve"> </w:t>
      </w:r>
      <w:r w:rsidRPr="0019505F">
        <w:t>orsaken till meddelandet (påbörjande eller övertagande av elleverans),</w:t>
      </w:r>
      <w:r w:rsidRPr="0019505F">
        <w:br/>
        <w:t>-</w:t>
      </w:r>
      <w:r>
        <w:t xml:space="preserve"> </w:t>
      </w:r>
      <w:r w:rsidRPr="0019505F">
        <w:t>vilket elhandelsföretag som har avtal om elleverans i uttagspunkten,</w:t>
      </w:r>
      <w:r w:rsidRPr="0019505F">
        <w:br/>
        <w:t>-</w:t>
      </w:r>
      <w:r>
        <w:t xml:space="preserve"> </w:t>
      </w:r>
      <w:r w:rsidRPr="0019505F">
        <w:t>anläggningsidentitet (anl id),</w:t>
      </w:r>
      <w:r w:rsidRPr="0019505F">
        <w:br/>
        <w:t>-</w:t>
      </w:r>
      <w:r>
        <w:t xml:space="preserve"> </w:t>
      </w:r>
      <w:r w:rsidRPr="0019505F">
        <w:t>identitet för nätavräkningsområde (områdes id) samt</w:t>
      </w:r>
      <w:r w:rsidRPr="0019505F">
        <w:br/>
        <w:t>-</w:t>
      </w:r>
      <w:r>
        <w:t xml:space="preserve"> </w:t>
      </w:r>
      <w:r w:rsidRPr="0019505F">
        <w:t>mätaridentitet.</w:t>
      </w:r>
    </w:p>
    <w:p w:rsidR="0019505F" w:rsidRPr="0019505F" w:rsidRDefault="0019505F" w:rsidP="0087756D">
      <w:pPr>
        <w:pStyle w:val="Brdtext"/>
        <w:ind w:left="360"/>
      </w:pPr>
      <w:r w:rsidRPr="0019505F">
        <w:t>Till berörda elhandelsföretag sker motsvarande rapportering enligt författning.</w:t>
      </w:r>
    </w:p>
    <w:p w:rsidR="0019505F" w:rsidRPr="00ED18BE" w:rsidRDefault="00E21167" w:rsidP="004A02B4">
      <w:pPr>
        <w:pStyle w:val="Brdtext"/>
        <w:numPr>
          <w:ilvl w:val="0"/>
          <w:numId w:val="27"/>
        </w:numPr>
        <w:rPr>
          <w:b/>
          <w:i/>
        </w:rPr>
      </w:pPr>
      <w:r w:rsidRPr="00ED18BE">
        <w:rPr>
          <w:b/>
          <w:i/>
        </w:rPr>
        <w:t>5.1 Möjligheten att ta ut fakturaavgift har tagits bort.</w:t>
      </w:r>
    </w:p>
    <w:p w:rsidR="00B71243" w:rsidRPr="00B71243" w:rsidRDefault="00B71243" w:rsidP="004A02B4">
      <w:pPr>
        <w:pStyle w:val="Brdtext"/>
        <w:numPr>
          <w:ilvl w:val="0"/>
          <w:numId w:val="27"/>
        </w:numPr>
      </w:pPr>
      <w:r>
        <w:t>8.3 andra stycket ska ha följande lydelse</w:t>
      </w:r>
      <w:r w:rsidR="00ED18BE">
        <w:t>:</w:t>
      </w:r>
      <w:r w:rsidR="00921232">
        <w:br/>
      </w:r>
      <w:r w:rsidR="00380CFE">
        <w:t>E</w:t>
      </w:r>
      <w:r w:rsidRPr="00B71243">
        <w:t xml:space="preserve">lnätsföretaget ska </w:t>
      </w:r>
      <w:r w:rsidRPr="00921232">
        <w:rPr>
          <w:b/>
          <w:i/>
        </w:rPr>
        <w:t>utan dröjsmål</w:t>
      </w:r>
      <w:r w:rsidRPr="00B71243">
        <w:t xml:space="preserve"> underrätta konsumenten om vilket elhandelsföretag som anvisats och om konsumentens möjlighet att byta elhandelsföretag.</w:t>
      </w:r>
    </w:p>
    <w:p w:rsidR="00380CFE" w:rsidRPr="00380CFE" w:rsidRDefault="00380CFE" w:rsidP="00C23519">
      <w:pPr>
        <w:pStyle w:val="Brdtext"/>
        <w:numPr>
          <w:ilvl w:val="0"/>
          <w:numId w:val="28"/>
        </w:numPr>
      </w:pPr>
      <w:r>
        <w:t>10.1 ska ha följande lydelse</w:t>
      </w:r>
      <w:r w:rsidR="001806ED">
        <w:t>:</w:t>
      </w:r>
      <w:r w:rsidR="00921232">
        <w:br/>
      </w:r>
      <w:r w:rsidRPr="00380CFE">
        <w:t xml:space="preserve">Elnätsföretaget ska lämna tydlig information på sin webbplats om </w:t>
      </w:r>
    </w:p>
    <w:p w:rsidR="00380CFE" w:rsidRPr="00A01643" w:rsidRDefault="00380CFE" w:rsidP="00A8163C">
      <w:pPr>
        <w:pStyle w:val="Brdtext"/>
        <w:ind w:left="360"/>
        <w:rPr>
          <w:b/>
          <w:i/>
        </w:rPr>
      </w:pPr>
      <w:r w:rsidRPr="00380CFE">
        <w:t>- konsumentens rättigheter,</w:t>
      </w:r>
      <w:r w:rsidR="00C23519">
        <w:br/>
      </w:r>
      <w:r w:rsidRPr="00380CFE">
        <w:t xml:space="preserve">- hur konsumenten ska gå till väga för att lämna klagomål, </w:t>
      </w:r>
      <w:r w:rsidR="00C23519">
        <w:br/>
      </w:r>
      <w:r w:rsidRPr="00380CFE">
        <w:t>- vilka organ konsumenten kan vända sig till för information eller tvistlösning, samt</w:t>
      </w:r>
      <w:r w:rsidR="00137554">
        <w:br/>
      </w:r>
      <w:r w:rsidRPr="00A01643">
        <w:rPr>
          <w:b/>
          <w:i/>
        </w:rPr>
        <w:t xml:space="preserve">- oberoende användarrådgivning, där konsumenterna kan få råd om tillgängliga energieffektivitetsåtgärder och jämförelseprofiler. </w:t>
      </w:r>
      <w:r w:rsidRPr="00A01643">
        <w:rPr>
          <w:b/>
          <w:i/>
        </w:rPr>
        <w:br/>
      </w:r>
      <w:r w:rsidRPr="00A01643">
        <w:t>På konsumentens begäran ska informationen lämnas på annat sätt.</w:t>
      </w:r>
    </w:p>
    <w:p w:rsidR="00380CFE" w:rsidRPr="00380CFE" w:rsidRDefault="00380CFE" w:rsidP="00A8163C">
      <w:pPr>
        <w:pStyle w:val="Brdtext"/>
        <w:ind w:left="360"/>
      </w:pPr>
      <w:r w:rsidRPr="00380CFE">
        <w:t xml:space="preserve">Elnätsföretaget ska på eller i samband med fakturan hänvisa till att information enligt första stycket finns på elnätsföretagets webbplats </w:t>
      </w:r>
      <w:r w:rsidRPr="00A01643">
        <w:rPr>
          <w:b/>
          <w:i/>
        </w:rPr>
        <w:t>och att den på begäran tillhandahålls på annat sätt.</w:t>
      </w:r>
    </w:p>
    <w:p w:rsidR="00BC2427" w:rsidRDefault="00A01643" w:rsidP="00A8163C">
      <w:pPr>
        <w:pStyle w:val="Liststycke"/>
        <w:numPr>
          <w:ilvl w:val="0"/>
          <w:numId w:val="28"/>
        </w:numPr>
      </w:pPr>
      <w:r>
        <w:lastRenderedPageBreak/>
        <w:t xml:space="preserve">10.2 Ordet </w:t>
      </w:r>
      <w:r w:rsidRPr="00A8163C">
        <w:rPr>
          <w:b/>
          <w:i/>
        </w:rPr>
        <w:t xml:space="preserve">kommunal </w:t>
      </w:r>
      <w:r>
        <w:t>har tagits bort.</w:t>
      </w:r>
    </w:p>
    <w:p w:rsidR="00EF7E49" w:rsidRDefault="00EF7E49" w:rsidP="00EF7E49"/>
    <w:p w:rsidR="00E024FA" w:rsidRPr="00D073C7" w:rsidRDefault="00A01643" w:rsidP="00A8163C">
      <w:pPr>
        <w:pStyle w:val="Brdtext"/>
        <w:numPr>
          <w:ilvl w:val="0"/>
          <w:numId w:val="28"/>
        </w:numPr>
      </w:pPr>
      <w:r>
        <w:t xml:space="preserve">10.5 </w:t>
      </w:r>
      <w:r w:rsidR="00931D89">
        <w:t>Energimarknadsinspektionens tillsyn omfattar numera bestämmelserna i 11 kap. 13-</w:t>
      </w:r>
      <w:r w:rsidR="00931D89" w:rsidRPr="00931D89">
        <w:rPr>
          <w:b/>
          <w:i/>
        </w:rPr>
        <w:t>21</w:t>
      </w:r>
      <w:r w:rsidR="00931D89">
        <w:t xml:space="preserve"> §§ ellagen.</w:t>
      </w:r>
    </w:p>
    <w:sectPr w:rsidR="00E024FA" w:rsidRPr="00D073C7" w:rsidSect="006165E1">
      <w:headerReference w:type="even" r:id="rId9"/>
      <w:headerReference w:type="default" r:id="rId10"/>
      <w:footerReference w:type="even" r:id="rId11"/>
      <w:footerReference w:type="default" r:id="rId12"/>
      <w:headerReference w:type="first" r:id="rId13"/>
      <w:footerReference w:type="first" r:id="rId14"/>
      <w:pgSz w:w="11906" w:h="16838"/>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42" w:rsidRDefault="00C16242" w:rsidP="00CB76B0">
      <w:r>
        <w:separator/>
      </w:r>
    </w:p>
  </w:endnote>
  <w:endnote w:type="continuationSeparator" w:id="0">
    <w:p w:rsidR="00C16242" w:rsidRDefault="00C16242" w:rsidP="00CB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BE" w:rsidRDefault="00ED18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BE" w:rsidRDefault="00ED18BE" w:rsidP="00B75818">
    <w:pPr>
      <w:pStyle w:val="Sidfot"/>
      <w:rPr>
        <w:rFonts w:ascii="Times New Roman" w:hAnsi="Times New Roman"/>
        <w:sz w:val="16"/>
        <w:szCs w:val="16"/>
      </w:rPr>
    </w:pPr>
    <w:r w:rsidRPr="00582273">
      <w:rPr>
        <w:rFonts w:ascii="Times New Roman" w:hAnsi="Times New Roman"/>
        <w:sz w:val="16"/>
        <w:szCs w:val="16"/>
      </w:rPr>
      <w:t>© Copyright Svensk Energi</w:t>
    </w:r>
  </w:p>
  <w:p w:rsidR="00ED18BE" w:rsidRDefault="00ED18BE">
    <w:pPr>
      <w:pStyle w:val="Sidfot"/>
    </w:pPr>
  </w:p>
  <w:p w:rsidR="00ED18BE" w:rsidRDefault="00ED18B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BE" w:rsidRDefault="00ED18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42" w:rsidRDefault="00C16242" w:rsidP="00CB76B0">
      <w:r>
        <w:separator/>
      </w:r>
    </w:p>
  </w:footnote>
  <w:footnote w:type="continuationSeparator" w:id="0">
    <w:p w:rsidR="00C16242" w:rsidRDefault="00C16242" w:rsidP="00CB7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BE" w:rsidRDefault="00ED18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9852"/>
      <w:docPartObj>
        <w:docPartGallery w:val="Page Numbers (Top of Page)"/>
        <w:docPartUnique/>
      </w:docPartObj>
    </w:sdtPr>
    <w:sdtEndPr/>
    <w:sdtContent>
      <w:p w:rsidR="00ED18BE" w:rsidRDefault="00577763">
        <w:pPr>
          <w:pStyle w:val="Sidhuvud"/>
          <w:jc w:val="right"/>
        </w:pPr>
        <w:r>
          <w:fldChar w:fldCharType="begin"/>
        </w:r>
        <w:r>
          <w:instrText xml:space="preserve"> PAGE   \* MERGEFORMAT </w:instrText>
        </w:r>
        <w:r>
          <w:fldChar w:fldCharType="separate"/>
        </w:r>
        <w:r w:rsidR="006D6BDE">
          <w:rPr>
            <w:noProof/>
          </w:rPr>
          <w:t>3</w:t>
        </w:r>
        <w:r>
          <w:rPr>
            <w:noProof/>
          </w:rPr>
          <w:fldChar w:fldCharType="end"/>
        </w:r>
      </w:p>
    </w:sdtContent>
  </w:sdt>
  <w:p w:rsidR="00ED18BE" w:rsidRDefault="00ED18B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BE" w:rsidRDefault="00ED18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566E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127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CF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66A5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445E491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CBCE92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7" w15:restartNumberingAfterBreak="0">
    <w:nsid w:val="16D07146"/>
    <w:multiLevelType w:val="multilevel"/>
    <w:tmpl w:val="38301B72"/>
    <w:lvl w:ilvl="0">
      <w:start w:val="1"/>
      <w:numFmt w:val="bullet"/>
      <w:pStyle w:val="SE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8" w15:restartNumberingAfterBreak="0">
    <w:nsid w:val="1E9D2E8B"/>
    <w:multiLevelType w:val="hybridMultilevel"/>
    <w:tmpl w:val="11426D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FB35C7A"/>
    <w:multiLevelType w:val="hybridMultilevel"/>
    <w:tmpl w:val="34A288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46D2CDE"/>
    <w:multiLevelType w:val="hybridMultilevel"/>
    <w:tmpl w:val="D8DC0A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01B3F36"/>
    <w:multiLevelType w:val="hybridMultilevel"/>
    <w:tmpl w:val="46989C7C"/>
    <w:lvl w:ilvl="0" w:tplc="BED8E13C">
      <w:start w:val="1"/>
      <w:numFmt w:val="decimal"/>
      <w:pStyle w:val="SEnummerlista"/>
      <w:lvlText w:val="%1"/>
      <w:lvlJc w:val="left"/>
      <w:pPr>
        <w:tabs>
          <w:tab w:val="num" w:pos="360"/>
        </w:tabs>
        <w:ind w:left="360" w:hanging="360"/>
      </w:pPr>
      <w:rPr>
        <w:rFonts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7405F0"/>
    <w:multiLevelType w:val="hybridMultilevel"/>
    <w:tmpl w:val="894EF9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7"/>
  </w:num>
  <w:num w:numId="4">
    <w:abstractNumId w:val="6"/>
  </w:num>
  <w:num w:numId="5">
    <w:abstractNumId w:val="4"/>
  </w:num>
  <w:num w:numId="6">
    <w:abstractNumId w:val="3"/>
  </w:num>
  <w:num w:numId="7">
    <w:abstractNumId w:val="2"/>
  </w:num>
  <w:num w:numId="8">
    <w:abstractNumId w:val="1"/>
  </w:num>
  <w:num w:numId="9">
    <w:abstractNumId w:val="0"/>
  </w:num>
  <w:num w:numId="10">
    <w:abstractNumId w:val="5"/>
  </w:num>
  <w:num w:numId="11">
    <w:abstractNumId w:val="6"/>
  </w:num>
  <w:num w:numId="12">
    <w:abstractNumId w:val="6"/>
  </w:num>
  <w:num w:numId="13">
    <w:abstractNumId w:val="6"/>
  </w:num>
  <w:num w:numId="14">
    <w:abstractNumId w:val="6"/>
  </w:num>
  <w:num w:numId="15">
    <w:abstractNumId w:val="6"/>
  </w:num>
  <w:num w:numId="16">
    <w:abstractNumId w:val="11"/>
  </w:num>
  <w:num w:numId="17">
    <w:abstractNumId w:val="7"/>
  </w:num>
  <w:num w:numId="18">
    <w:abstractNumId w:val="6"/>
  </w:num>
  <w:num w:numId="19">
    <w:abstractNumId w:val="6"/>
  </w:num>
  <w:num w:numId="20">
    <w:abstractNumId w:val="6"/>
  </w:num>
  <w:num w:numId="21">
    <w:abstractNumId w:val="6"/>
  </w:num>
  <w:num w:numId="22">
    <w:abstractNumId w:val="6"/>
  </w:num>
  <w:num w:numId="23">
    <w:abstractNumId w:val="11"/>
  </w:num>
  <w:num w:numId="24">
    <w:abstractNumId w:val="7"/>
  </w:num>
  <w:num w:numId="25">
    <w:abstractNumId w:val="9"/>
  </w:num>
  <w:num w:numId="26">
    <w:abstractNumId w:val="12"/>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E6"/>
    <w:rsid w:val="00034A43"/>
    <w:rsid w:val="00046B60"/>
    <w:rsid w:val="000547DE"/>
    <w:rsid w:val="00074F75"/>
    <w:rsid w:val="00096E78"/>
    <w:rsid w:val="000B05D4"/>
    <w:rsid w:val="00127232"/>
    <w:rsid w:val="00136E13"/>
    <w:rsid w:val="00137554"/>
    <w:rsid w:val="0016596C"/>
    <w:rsid w:val="001806ED"/>
    <w:rsid w:val="00184241"/>
    <w:rsid w:val="0018480A"/>
    <w:rsid w:val="0019505F"/>
    <w:rsid w:val="00195169"/>
    <w:rsid w:val="001C373C"/>
    <w:rsid w:val="001D24FD"/>
    <w:rsid w:val="001D4111"/>
    <w:rsid w:val="001E3991"/>
    <w:rsid w:val="001E7522"/>
    <w:rsid w:val="00202CA8"/>
    <w:rsid w:val="0021196D"/>
    <w:rsid w:val="00272208"/>
    <w:rsid w:val="002738F6"/>
    <w:rsid w:val="00282465"/>
    <w:rsid w:val="00294624"/>
    <w:rsid w:val="002D0CCE"/>
    <w:rsid w:val="002D763B"/>
    <w:rsid w:val="00326449"/>
    <w:rsid w:val="00330BFE"/>
    <w:rsid w:val="00347A91"/>
    <w:rsid w:val="0035065E"/>
    <w:rsid w:val="00380CFE"/>
    <w:rsid w:val="00393880"/>
    <w:rsid w:val="003A38FC"/>
    <w:rsid w:val="003A3DC0"/>
    <w:rsid w:val="003B67C1"/>
    <w:rsid w:val="003C147D"/>
    <w:rsid w:val="003C4F4E"/>
    <w:rsid w:val="00410C16"/>
    <w:rsid w:val="004A02B4"/>
    <w:rsid w:val="004A5F68"/>
    <w:rsid w:val="004B52A9"/>
    <w:rsid w:val="004C59B1"/>
    <w:rsid w:val="004E14CD"/>
    <w:rsid w:val="004E7F9C"/>
    <w:rsid w:val="0056306B"/>
    <w:rsid w:val="005633E1"/>
    <w:rsid w:val="00567899"/>
    <w:rsid w:val="00577763"/>
    <w:rsid w:val="00591694"/>
    <w:rsid w:val="005C419F"/>
    <w:rsid w:val="005D4652"/>
    <w:rsid w:val="005D65CC"/>
    <w:rsid w:val="006165E1"/>
    <w:rsid w:val="00660DCA"/>
    <w:rsid w:val="00687EF4"/>
    <w:rsid w:val="006B04FB"/>
    <w:rsid w:val="006D2F21"/>
    <w:rsid w:val="006D6BDE"/>
    <w:rsid w:val="006D7BE0"/>
    <w:rsid w:val="00750501"/>
    <w:rsid w:val="00782F48"/>
    <w:rsid w:val="007B1840"/>
    <w:rsid w:val="007C1CFC"/>
    <w:rsid w:val="007D3A9A"/>
    <w:rsid w:val="008001E6"/>
    <w:rsid w:val="0087756D"/>
    <w:rsid w:val="008A0303"/>
    <w:rsid w:val="008D33F5"/>
    <w:rsid w:val="008E0F1B"/>
    <w:rsid w:val="00900BA0"/>
    <w:rsid w:val="00915072"/>
    <w:rsid w:val="00921232"/>
    <w:rsid w:val="00931D89"/>
    <w:rsid w:val="00947E1D"/>
    <w:rsid w:val="00995BC2"/>
    <w:rsid w:val="00997145"/>
    <w:rsid w:val="009B04D2"/>
    <w:rsid w:val="009B1797"/>
    <w:rsid w:val="009B4149"/>
    <w:rsid w:val="009B64F3"/>
    <w:rsid w:val="009D223A"/>
    <w:rsid w:val="009D7C93"/>
    <w:rsid w:val="009F46A7"/>
    <w:rsid w:val="009F7957"/>
    <w:rsid w:val="00A01643"/>
    <w:rsid w:val="00A268AE"/>
    <w:rsid w:val="00A45A3B"/>
    <w:rsid w:val="00A51D6C"/>
    <w:rsid w:val="00A54160"/>
    <w:rsid w:val="00A8163C"/>
    <w:rsid w:val="00A90F8B"/>
    <w:rsid w:val="00A91490"/>
    <w:rsid w:val="00AB5D29"/>
    <w:rsid w:val="00AC07E9"/>
    <w:rsid w:val="00AC08F9"/>
    <w:rsid w:val="00AF3CEB"/>
    <w:rsid w:val="00B24615"/>
    <w:rsid w:val="00B43F9D"/>
    <w:rsid w:val="00B71243"/>
    <w:rsid w:val="00B75818"/>
    <w:rsid w:val="00BA12E2"/>
    <w:rsid w:val="00BB1056"/>
    <w:rsid w:val="00BC2427"/>
    <w:rsid w:val="00BF1135"/>
    <w:rsid w:val="00BF2DCE"/>
    <w:rsid w:val="00C16242"/>
    <w:rsid w:val="00C20115"/>
    <w:rsid w:val="00C23519"/>
    <w:rsid w:val="00C362B8"/>
    <w:rsid w:val="00CA6F8C"/>
    <w:rsid w:val="00CB3DBA"/>
    <w:rsid w:val="00CB76B0"/>
    <w:rsid w:val="00CE45D4"/>
    <w:rsid w:val="00D073C7"/>
    <w:rsid w:val="00D1308E"/>
    <w:rsid w:val="00D332F5"/>
    <w:rsid w:val="00D41A19"/>
    <w:rsid w:val="00D47070"/>
    <w:rsid w:val="00DB13C2"/>
    <w:rsid w:val="00DB5650"/>
    <w:rsid w:val="00DE7414"/>
    <w:rsid w:val="00E024FA"/>
    <w:rsid w:val="00E21167"/>
    <w:rsid w:val="00E24FE5"/>
    <w:rsid w:val="00E34635"/>
    <w:rsid w:val="00E67D0B"/>
    <w:rsid w:val="00ED18BE"/>
    <w:rsid w:val="00ED1FD6"/>
    <w:rsid w:val="00EF7E49"/>
    <w:rsid w:val="00F16D12"/>
    <w:rsid w:val="00F173DF"/>
    <w:rsid w:val="00F3626C"/>
    <w:rsid w:val="00F83513"/>
    <w:rsid w:val="00FA4EAF"/>
    <w:rsid w:val="00FE5A6B"/>
    <w:rsid w:val="00FE793F"/>
    <w:rsid w:val="00FF1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44C8D7-CAC3-4AD1-809C-9DFD3CF9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B13C2"/>
    <w:rPr>
      <w:rFonts w:ascii="Verdana" w:hAnsi="Verdana"/>
      <w:szCs w:val="24"/>
    </w:rPr>
  </w:style>
  <w:style w:type="paragraph" w:styleId="Rubrik1">
    <w:name w:val="heading 1"/>
    <w:basedOn w:val="Normal"/>
    <w:next w:val="Brdtext"/>
    <w:qFormat/>
    <w:rsid w:val="0056306B"/>
    <w:pPr>
      <w:keepNext/>
      <w:spacing w:after="120"/>
      <w:outlineLvl w:val="0"/>
    </w:pPr>
    <w:rPr>
      <w:rFonts w:cs="Arial"/>
      <w:bCs/>
      <w:sz w:val="28"/>
      <w:szCs w:val="28"/>
    </w:rPr>
  </w:style>
  <w:style w:type="paragraph" w:styleId="Rubrik2">
    <w:name w:val="heading 2"/>
    <w:basedOn w:val="Normal"/>
    <w:next w:val="Brdtext"/>
    <w:qFormat/>
    <w:rsid w:val="0056306B"/>
    <w:pPr>
      <w:keepNext/>
      <w:spacing w:before="220" w:after="60"/>
      <w:outlineLvl w:val="1"/>
    </w:pPr>
    <w:rPr>
      <w:rFonts w:cs="Arial"/>
      <w:bCs/>
      <w:iCs/>
      <w:sz w:val="24"/>
      <w:szCs w:val="28"/>
    </w:rPr>
  </w:style>
  <w:style w:type="paragraph" w:styleId="Rubrik3">
    <w:name w:val="heading 3"/>
    <w:basedOn w:val="Normal"/>
    <w:next w:val="Brdtext"/>
    <w:qFormat/>
    <w:rsid w:val="0056306B"/>
    <w:pPr>
      <w:keepNext/>
      <w:spacing w:before="220" w:after="60"/>
      <w:outlineLvl w:val="2"/>
    </w:pPr>
    <w:rPr>
      <w:rFonts w:cs="Arial"/>
      <w:bCs/>
      <w:sz w:val="22"/>
      <w:szCs w:val="26"/>
    </w:rPr>
  </w:style>
  <w:style w:type="paragraph" w:styleId="Rubrik4">
    <w:name w:val="heading 4"/>
    <w:basedOn w:val="Normal"/>
    <w:next w:val="Brdtext"/>
    <w:qFormat/>
    <w:rsid w:val="0056306B"/>
    <w:pPr>
      <w:keepNext/>
      <w:spacing w:before="220"/>
      <w:outlineLvl w:val="3"/>
    </w:pPr>
    <w:rPr>
      <w:szCs w:val="28"/>
    </w:rPr>
  </w:style>
  <w:style w:type="paragraph" w:styleId="Rubrik5">
    <w:name w:val="heading 5"/>
    <w:basedOn w:val="Normal"/>
    <w:next w:val="Brdtext"/>
    <w:semiHidden/>
    <w:qFormat/>
    <w:rsid w:val="0056306B"/>
    <w:pPr>
      <w:numPr>
        <w:ilvl w:val="4"/>
        <w:numId w:val="22"/>
      </w:numPr>
      <w:outlineLvl w:val="4"/>
    </w:pPr>
    <w:rPr>
      <w:bCs/>
      <w:iCs/>
      <w:szCs w:val="26"/>
    </w:rPr>
  </w:style>
  <w:style w:type="paragraph" w:styleId="Rubrik6">
    <w:name w:val="heading 6"/>
    <w:basedOn w:val="Rubrik5"/>
    <w:next w:val="Brdtext"/>
    <w:semiHidden/>
    <w:qFormat/>
    <w:rsid w:val="0056306B"/>
    <w:pPr>
      <w:numPr>
        <w:ilvl w:val="5"/>
      </w:numPr>
      <w:outlineLvl w:val="5"/>
    </w:pPr>
  </w:style>
  <w:style w:type="paragraph" w:styleId="Rubrik7">
    <w:name w:val="heading 7"/>
    <w:basedOn w:val="Rubrik6"/>
    <w:next w:val="Brdtext"/>
    <w:semiHidden/>
    <w:qFormat/>
    <w:rsid w:val="0056306B"/>
    <w:pPr>
      <w:numPr>
        <w:ilvl w:val="6"/>
      </w:numPr>
      <w:outlineLvl w:val="6"/>
    </w:pPr>
  </w:style>
  <w:style w:type="paragraph" w:styleId="Rubrik8">
    <w:name w:val="heading 8"/>
    <w:basedOn w:val="Rubrik7"/>
    <w:next w:val="Brdtext"/>
    <w:semiHidden/>
    <w:qFormat/>
    <w:rsid w:val="0056306B"/>
    <w:pPr>
      <w:numPr>
        <w:ilvl w:val="7"/>
      </w:numPr>
      <w:outlineLvl w:val="7"/>
    </w:pPr>
  </w:style>
  <w:style w:type="paragraph" w:styleId="Rubrik9">
    <w:name w:val="heading 9"/>
    <w:basedOn w:val="Rubrik8"/>
    <w:next w:val="Brdtext"/>
    <w:semiHidden/>
    <w:qFormat/>
    <w:rsid w:val="0056306B"/>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56306B"/>
    <w:rPr>
      <w:rFonts w:ascii="Tahoma" w:hAnsi="Tahoma" w:cs="Tahoma"/>
      <w:sz w:val="16"/>
      <w:szCs w:val="16"/>
    </w:rPr>
  </w:style>
  <w:style w:type="paragraph" w:styleId="Beskrivning">
    <w:name w:val="caption"/>
    <w:basedOn w:val="Normal"/>
    <w:next w:val="Normal"/>
    <w:qFormat/>
    <w:rsid w:val="0056306B"/>
    <w:pPr>
      <w:spacing w:before="120" w:after="120"/>
    </w:pPr>
    <w:rPr>
      <w:b/>
      <w:bCs/>
      <w:sz w:val="18"/>
      <w:szCs w:val="20"/>
    </w:rPr>
  </w:style>
  <w:style w:type="paragraph" w:customStyle="1" w:styleId="Blankettnr">
    <w:name w:val="Blankettnr"/>
    <w:basedOn w:val="Normal"/>
    <w:semiHidden/>
    <w:rsid w:val="0056306B"/>
    <w:rPr>
      <w:sz w:val="10"/>
    </w:rPr>
  </w:style>
  <w:style w:type="paragraph" w:styleId="Brdtext">
    <w:name w:val="Body Text"/>
    <w:basedOn w:val="Normal"/>
    <w:rsid w:val="0056306B"/>
    <w:pPr>
      <w:spacing w:after="120" w:line="240" w:lineRule="atLeast"/>
    </w:pPr>
  </w:style>
  <w:style w:type="paragraph" w:styleId="Sidhuvud">
    <w:name w:val="header"/>
    <w:basedOn w:val="Normal"/>
    <w:link w:val="SidhuvudChar"/>
    <w:uiPriority w:val="99"/>
    <w:rsid w:val="0056306B"/>
  </w:style>
  <w:style w:type="paragraph" w:customStyle="1" w:styleId="Dokumenttyp">
    <w:name w:val="Dokumenttyp"/>
    <w:basedOn w:val="Normal"/>
    <w:semiHidden/>
    <w:rsid w:val="0056306B"/>
    <w:rPr>
      <w:rFonts w:cs="Arial"/>
      <w:caps/>
      <w:szCs w:val="22"/>
    </w:rPr>
  </w:style>
  <w:style w:type="character" w:styleId="Hyperlnk">
    <w:name w:val="Hyperlink"/>
    <w:basedOn w:val="Standardstycketeckensnitt"/>
    <w:semiHidden/>
    <w:rsid w:val="0056306B"/>
    <w:rPr>
      <w:color w:val="0000FF"/>
      <w:u w:val="single"/>
    </w:rPr>
  </w:style>
  <w:style w:type="paragraph" w:styleId="Innehll1">
    <w:name w:val="toc 1"/>
    <w:basedOn w:val="Normal"/>
    <w:next w:val="Normal"/>
    <w:semiHidden/>
    <w:rsid w:val="0056306B"/>
    <w:pPr>
      <w:tabs>
        <w:tab w:val="right" w:pos="7927"/>
      </w:tabs>
      <w:spacing w:before="240"/>
      <w:ind w:left="482" w:right="284" w:hanging="482"/>
    </w:pPr>
    <w:rPr>
      <w:b/>
      <w:noProof/>
    </w:rPr>
  </w:style>
  <w:style w:type="paragraph" w:styleId="Innehll2">
    <w:name w:val="toc 2"/>
    <w:basedOn w:val="Normal"/>
    <w:next w:val="Normal"/>
    <w:semiHidden/>
    <w:rsid w:val="0056306B"/>
    <w:pPr>
      <w:tabs>
        <w:tab w:val="left" w:pos="1134"/>
        <w:tab w:val="right" w:leader="dot" w:pos="7927"/>
      </w:tabs>
      <w:ind w:left="8409" w:right="284" w:hanging="7927"/>
    </w:pPr>
    <w:rPr>
      <w:noProof/>
      <w:sz w:val="18"/>
    </w:rPr>
  </w:style>
  <w:style w:type="paragraph" w:styleId="Innehll3">
    <w:name w:val="toc 3"/>
    <w:basedOn w:val="Normal"/>
    <w:next w:val="Normal"/>
    <w:semiHidden/>
    <w:rsid w:val="0056306B"/>
    <w:pPr>
      <w:tabs>
        <w:tab w:val="left" w:pos="1134"/>
        <w:tab w:val="right" w:leader="dot" w:pos="7927"/>
      </w:tabs>
      <w:ind w:left="1871" w:right="284" w:hanging="737"/>
    </w:pPr>
    <w:rPr>
      <w:sz w:val="18"/>
      <w:szCs w:val="20"/>
    </w:rPr>
  </w:style>
  <w:style w:type="paragraph" w:styleId="Sidfot">
    <w:name w:val="footer"/>
    <w:basedOn w:val="Normal"/>
    <w:link w:val="SidfotChar"/>
    <w:uiPriority w:val="99"/>
    <w:rsid w:val="0056306B"/>
    <w:rPr>
      <w:noProof/>
    </w:rPr>
  </w:style>
  <w:style w:type="character" w:styleId="Sidnummer">
    <w:name w:val="page number"/>
    <w:basedOn w:val="Standardstycketeckensnitt"/>
    <w:semiHidden/>
    <w:rsid w:val="0056306B"/>
    <w:rPr>
      <w:rFonts w:ascii="Verdana" w:hAnsi="Verdana"/>
      <w:sz w:val="20"/>
    </w:rPr>
  </w:style>
  <w:style w:type="paragraph" w:customStyle="1" w:styleId="Tabelltext">
    <w:name w:val="Tabelltext"/>
    <w:basedOn w:val="Normal"/>
    <w:rsid w:val="0056306B"/>
    <w:rPr>
      <w:rFonts w:cs="Arial"/>
      <w:sz w:val="16"/>
    </w:rPr>
  </w:style>
  <w:style w:type="paragraph" w:customStyle="1" w:styleId="Tabelltextfet">
    <w:name w:val="Tabelltext_fet"/>
    <w:basedOn w:val="Tabelltext"/>
    <w:rsid w:val="0056306B"/>
    <w:rPr>
      <w:b/>
      <w:bCs/>
    </w:rPr>
  </w:style>
  <w:style w:type="paragraph" w:customStyle="1" w:styleId="Tabelltextkursiv">
    <w:name w:val="Tabelltext_kursiv"/>
    <w:basedOn w:val="Tabelltextfet"/>
    <w:rsid w:val="0056306B"/>
    <w:rPr>
      <w:b w:val="0"/>
      <w:bCs w:val="0"/>
      <w:i/>
      <w:iCs/>
    </w:rPr>
  </w:style>
  <w:style w:type="paragraph" w:styleId="Figurfrteckning">
    <w:name w:val="table of figures"/>
    <w:basedOn w:val="Normal"/>
    <w:next w:val="Normal"/>
    <w:semiHidden/>
    <w:rsid w:val="0056306B"/>
    <w:rPr>
      <w:sz w:val="18"/>
    </w:rPr>
  </w:style>
  <w:style w:type="paragraph" w:customStyle="1" w:styleId="BalloonText1">
    <w:name w:val="Balloon Text1"/>
    <w:basedOn w:val="Normal"/>
    <w:semiHidden/>
    <w:rsid w:val="0056306B"/>
    <w:rPr>
      <w:rFonts w:ascii="Tahoma" w:hAnsi="Tahoma" w:cs="Tahoma"/>
      <w:sz w:val="16"/>
      <w:szCs w:val="16"/>
    </w:rPr>
  </w:style>
  <w:style w:type="character" w:styleId="Fotnotsreferens">
    <w:name w:val="footnote reference"/>
    <w:basedOn w:val="Standardstycketeckensnitt"/>
    <w:semiHidden/>
    <w:rsid w:val="0056306B"/>
    <w:rPr>
      <w:vertAlign w:val="superscript"/>
    </w:rPr>
  </w:style>
  <w:style w:type="paragraph" w:styleId="Fotnotstext">
    <w:name w:val="footnote text"/>
    <w:basedOn w:val="Normal"/>
    <w:semiHidden/>
    <w:rsid w:val="0056306B"/>
    <w:rPr>
      <w:sz w:val="18"/>
      <w:szCs w:val="20"/>
    </w:rPr>
  </w:style>
  <w:style w:type="paragraph" w:styleId="Innehll4">
    <w:name w:val="toc 4"/>
    <w:basedOn w:val="Normal"/>
    <w:next w:val="Normal"/>
    <w:semiHidden/>
    <w:rsid w:val="0056306B"/>
    <w:pPr>
      <w:ind w:left="720"/>
    </w:pPr>
    <w:rPr>
      <w:szCs w:val="20"/>
    </w:rPr>
  </w:style>
  <w:style w:type="paragraph" w:styleId="Innehll5">
    <w:name w:val="toc 5"/>
    <w:basedOn w:val="Normal"/>
    <w:next w:val="Normal"/>
    <w:semiHidden/>
    <w:rsid w:val="0056306B"/>
    <w:pPr>
      <w:ind w:left="960"/>
    </w:pPr>
    <w:rPr>
      <w:szCs w:val="20"/>
    </w:rPr>
  </w:style>
  <w:style w:type="paragraph" w:styleId="Innehll6">
    <w:name w:val="toc 6"/>
    <w:basedOn w:val="Normal"/>
    <w:next w:val="Normal"/>
    <w:semiHidden/>
    <w:rsid w:val="0056306B"/>
    <w:pPr>
      <w:ind w:left="1200"/>
    </w:pPr>
    <w:rPr>
      <w:szCs w:val="20"/>
    </w:rPr>
  </w:style>
  <w:style w:type="paragraph" w:styleId="Innehll7">
    <w:name w:val="toc 7"/>
    <w:basedOn w:val="Normal"/>
    <w:next w:val="Normal"/>
    <w:semiHidden/>
    <w:rsid w:val="0056306B"/>
    <w:pPr>
      <w:ind w:left="1440"/>
    </w:pPr>
    <w:rPr>
      <w:szCs w:val="20"/>
    </w:rPr>
  </w:style>
  <w:style w:type="paragraph" w:styleId="Innehll8">
    <w:name w:val="toc 8"/>
    <w:basedOn w:val="Normal"/>
    <w:next w:val="Normal"/>
    <w:semiHidden/>
    <w:rsid w:val="0056306B"/>
    <w:pPr>
      <w:ind w:left="1680"/>
    </w:pPr>
    <w:rPr>
      <w:szCs w:val="20"/>
    </w:rPr>
  </w:style>
  <w:style w:type="paragraph" w:styleId="Innehll9">
    <w:name w:val="toc 9"/>
    <w:basedOn w:val="Normal"/>
    <w:next w:val="Normal"/>
    <w:semiHidden/>
    <w:rsid w:val="0056306B"/>
    <w:pPr>
      <w:ind w:left="1920"/>
    </w:pPr>
    <w:rPr>
      <w:szCs w:val="20"/>
    </w:rPr>
  </w:style>
  <w:style w:type="paragraph" w:customStyle="1" w:styleId="Klla">
    <w:name w:val="Källa"/>
    <w:basedOn w:val="Normal"/>
    <w:rsid w:val="0056306B"/>
    <w:pPr>
      <w:spacing w:before="40" w:line="270" w:lineRule="atLeast"/>
    </w:pPr>
    <w:rPr>
      <w:sz w:val="16"/>
    </w:rPr>
  </w:style>
  <w:style w:type="paragraph" w:customStyle="1" w:styleId="Referenser">
    <w:name w:val="Referenser"/>
    <w:basedOn w:val="Brdtext"/>
    <w:rsid w:val="0056306B"/>
    <w:pPr>
      <w:spacing w:line="270" w:lineRule="atLeast"/>
      <w:ind w:left="425" w:hanging="425"/>
    </w:pPr>
  </w:style>
  <w:style w:type="paragraph" w:customStyle="1" w:styleId="RubInnehll">
    <w:name w:val="Rub Innehåll"/>
    <w:basedOn w:val="Normal"/>
    <w:semiHidden/>
    <w:rsid w:val="0056306B"/>
    <w:rPr>
      <w:rFonts w:cs="Arial"/>
      <w:b/>
      <w:sz w:val="28"/>
      <w:szCs w:val="28"/>
    </w:rPr>
  </w:style>
  <w:style w:type="paragraph" w:customStyle="1" w:styleId="Adress-sidfot">
    <w:name w:val="Adress-sidfot"/>
    <w:basedOn w:val="Normal"/>
    <w:semiHidden/>
    <w:rsid w:val="0056306B"/>
    <w:pPr>
      <w:pBdr>
        <w:top w:val="single" w:sz="4" w:space="3" w:color="auto"/>
      </w:pBdr>
      <w:ind w:left="-851" w:right="-1247"/>
      <w:jc w:val="center"/>
    </w:pPr>
    <w:rPr>
      <w:rFonts w:ascii="Arial" w:hAnsi="Arial"/>
      <w:noProof/>
      <w:sz w:val="16"/>
    </w:rPr>
  </w:style>
  <w:style w:type="paragraph" w:customStyle="1" w:styleId="Ledtext">
    <w:name w:val="Ledtext"/>
    <w:basedOn w:val="Normal"/>
    <w:rsid w:val="0056306B"/>
    <w:rPr>
      <w:sz w:val="14"/>
    </w:rPr>
  </w:style>
  <w:style w:type="paragraph" w:customStyle="1" w:styleId="Mottagaradress">
    <w:name w:val="Mottagaradress"/>
    <w:basedOn w:val="Normal"/>
    <w:semiHidden/>
    <w:rsid w:val="0056306B"/>
    <w:pPr>
      <w:ind w:left="4502"/>
    </w:pPr>
  </w:style>
  <w:style w:type="paragraph" w:customStyle="1" w:styleId="SEnummerlista">
    <w:name w:val="SE_nummerlista"/>
    <w:basedOn w:val="Brdtext"/>
    <w:rsid w:val="0056306B"/>
    <w:pPr>
      <w:numPr>
        <w:numId w:val="23"/>
      </w:numPr>
    </w:pPr>
  </w:style>
  <w:style w:type="paragraph" w:customStyle="1" w:styleId="SEpunktlista">
    <w:name w:val="SE_punktlista"/>
    <w:basedOn w:val="Brdtext"/>
    <w:rsid w:val="0056306B"/>
    <w:pPr>
      <w:numPr>
        <w:numId w:val="24"/>
      </w:numPr>
    </w:pPr>
  </w:style>
  <w:style w:type="paragraph" w:customStyle="1" w:styleId="Sidfot-adress">
    <w:name w:val="Sidfot-adress"/>
    <w:basedOn w:val="Sidfot"/>
    <w:semiHidden/>
    <w:rsid w:val="0056306B"/>
    <w:rPr>
      <w:sz w:val="14"/>
    </w:rPr>
  </w:style>
  <w:style w:type="table" w:styleId="Tabellrutnt">
    <w:name w:val="Table Grid"/>
    <w:basedOn w:val="Normaltabell"/>
    <w:semiHidden/>
    <w:rsid w:val="0056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qFormat/>
    <w:rsid w:val="0056306B"/>
    <w:pPr>
      <w:spacing w:before="240" w:after="60"/>
      <w:jc w:val="center"/>
      <w:outlineLvl w:val="0"/>
    </w:pPr>
    <w:rPr>
      <w:rFonts w:cs="Arial"/>
      <w:b/>
      <w:bCs/>
      <w:kern w:val="28"/>
      <w:sz w:val="32"/>
      <w:szCs w:val="32"/>
    </w:rPr>
  </w:style>
  <w:style w:type="paragraph" w:styleId="Underrubrik">
    <w:name w:val="Subtitle"/>
    <w:basedOn w:val="Normal"/>
    <w:qFormat/>
    <w:rsid w:val="0056306B"/>
    <w:pPr>
      <w:spacing w:after="60"/>
      <w:jc w:val="center"/>
      <w:outlineLvl w:val="1"/>
    </w:pPr>
    <w:rPr>
      <w:rFonts w:cs="Arial"/>
      <w:sz w:val="24"/>
    </w:rPr>
  </w:style>
  <w:style w:type="paragraph" w:customStyle="1" w:styleId="Variabelinfo">
    <w:name w:val="Variabel_info"/>
    <w:basedOn w:val="Sidhuvud"/>
    <w:semiHidden/>
    <w:rsid w:val="0056306B"/>
    <w:pPr>
      <w:tabs>
        <w:tab w:val="center" w:pos="4153"/>
        <w:tab w:val="right" w:pos="8306"/>
      </w:tabs>
    </w:pPr>
    <w:rPr>
      <w:rFonts w:cs="Arial"/>
      <w:sz w:val="18"/>
    </w:rPr>
  </w:style>
  <w:style w:type="paragraph" w:styleId="Adress-brev">
    <w:name w:val="envelope address"/>
    <w:basedOn w:val="Normal"/>
    <w:semiHidden/>
    <w:rsid w:val="0056306B"/>
    <w:pPr>
      <w:framePr w:w="7938" w:h="1984" w:hRule="exact" w:hSpace="141" w:wrap="auto" w:hAnchor="page" w:xAlign="center" w:yAlign="bottom"/>
      <w:ind w:left="2880"/>
    </w:pPr>
    <w:rPr>
      <w:rFonts w:ascii="Arial" w:hAnsi="Arial" w:cs="Arial"/>
      <w:sz w:val="24"/>
    </w:rPr>
  </w:style>
  <w:style w:type="character" w:customStyle="1" w:styleId="SidhuvudChar">
    <w:name w:val="Sidhuvud Char"/>
    <w:basedOn w:val="Standardstycketeckensnitt"/>
    <w:link w:val="Sidhuvud"/>
    <w:uiPriority w:val="99"/>
    <w:rsid w:val="00CB76B0"/>
    <w:rPr>
      <w:rFonts w:ascii="Verdana" w:hAnsi="Verdana"/>
      <w:szCs w:val="24"/>
    </w:rPr>
  </w:style>
  <w:style w:type="character" w:customStyle="1" w:styleId="SidfotChar">
    <w:name w:val="Sidfot Char"/>
    <w:basedOn w:val="Standardstycketeckensnitt"/>
    <w:link w:val="Sidfot"/>
    <w:uiPriority w:val="99"/>
    <w:rsid w:val="00B75818"/>
    <w:rPr>
      <w:rFonts w:ascii="Verdana" w:hAnsi="Verdana"/>
      <w:noProof/>
      <w:szCs w:val="24"/>
    </w:rPr>
  </w:style>
  <w:style w:type="paragraph" w:styleId="Liststycke">
    <w:name w:val="List Paragraph"/>
    <w:basedOn w:val="Normal"/>
    <w:uiPriority w:val="34"/>
    <w:qFormat/>
    <w:rsid w:val="00A8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isum.se/rnp/sls/lag/19970857.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971DF-00F6-4EB0-9145-054D74DF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4677</Characters>
  <Application>Microsoft Office Word</Application>
  <DocSecurity>4</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Svensk Energi - Swedenergy - AB</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Marcelius</dc:creator>
  <cp:lastModifiedBy>Wiktoria Breman</cp:lastModifiedBy>
  <cp:revision>2</cp:revision>
  <cp:lastPrinted>2015-02-11T12:06:00Z</cp:lastPrinted>
  <dcterms:created xsi:type="dcterms:W3CDTF">2018-09-11T08:40:00Z</dcterms:created>
  <dcterms:modified xsi:type="dcterms:W3CDTF">2018-09-11T08:40:00Z</dcterms:modified>
</cp:coreProperties>
</file>